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92" w:rsidRPr="007F6DC4" w:rsidRDefault="004F2D9E" w:rsidP="00EF5E43">
      <w:pPr>
        <w:shd w:val="clear" w:color="auto" w:fill="FDFDFC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>Πρόγραμμα</w:t>
      </w:r>
      <w:r w:rsidR="00C94192" w:rsidRPr="007F6DC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Κοινωνικού Τουρισμού </w:t>
      </w:r>
      <w:r w:rsidRPr="007F6DC4">
        <w:rPr>
          <w:rFonts w:eastAsia="Times New Roman" w:cstheme="minorHAnsi"/>
          <w:b/>
          <w:bCs/>
          <w:sz w:val="24"/>
          <w:szCs w:val="24"/>
          <w:lang w:eastAsia="el-GR"/>
        </w:rPr>
        <w:t>ΔΥΠΑ</w:t>
      </w:r>
    </w:p>
    <w:p w:rsidR="004B2809" w:rsidRPr="007F6DC4" w:rsidRDefault="004B2809" w:rsidP="00C94192">
      <w:pPr>
        <w:shd w:val="clear" w:color="auto" w:fill="FDFDFC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Πότε ξεκινούν οι αιτήσεις για το πρόγραμμα;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AE1E62">
        <w:rPr>
          <w:rFonts w:eastAsia="Times New Roman" w:cstheme="minorHAnsi"/>
          <w:bCs/>
          <w:iCs/>
          <w:sz w:val="24"/>
          <w:szCs w:val="24"/>
          <w:lang w:eastAsia="el-GR"/>
        </w:rPr>
        <w:t>Τη Δευτέρα, 3 Ιουνίου και ώρα 18:00,</w:t>
      </w:r>
      <w:bookmarkStart w:id="0" w:name="_GoBack"/>
      <w:bookmarkEnd w:id="0"/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ξεκινά η υποβολή ηλεκτρονικών αιτήσεων δικαιούχων και παρόχων για τη συμμετοχή τους στο Πρόγραμμα Κοινωνικού Τουρισμού </w:t>
      </w:r>
      <w:r w:rsidR="00732B57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2024-2025 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Δημόσιας Υπηρεσίας Απασχόλησης (ΔΥΠΑ).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Πότε ξεκινάει το πρόγραμμα και τι περιλαμβάνει;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Το πρόγραμμα θα ξεκινήσει την 1</w:t>
      </w:r>
      <w:r w:rsidRPr="007F6DC4">
        <w:rPr>
          <w:rFonts w:eastAsia="Times New Roman" w:cstheme="minorHAnsi"/>
          <w:bCs/>
          <w:iCs/>
          <w:sz w:val="24"/>
          <w:szCs w:val="24"/>
          <w:vertAlign w:val="superscript"/>
          <w:lang w:eastAsia="el-GR"/>
        </w:rPr>
        <w:t>η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Ιουλίου 2024 και θα αφορά σε 300.000 επιταγές (</w:t>
      </w:r>
      <w:r w:rsidRPr="007F6DC4">
        <w:rPr>
          <w:rFonts w:eastAsia="Times New Roman" w:cstheme="minorHAnsi"/>
          <w:bCs/>
          <w:iCs/>
          <w:sz w:val="24"/>
          <w:szCs w:val="24"/>
          <w:lang w:val="en-US" w:eastAsia="el-GR"/>
        </w:rPr>
        <w:t>voucher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).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Η επιταγή, με την οποία γίνεται η διαδικασία συμμετοχής, είναι ένας μοναδικός αριθμός για κάθε δικαιούχο και κάθε ωφελούμενο (σύζυγοι, τέκνα, συνοδοί ΑμεΑ) ξεχωριστά. Οι δικαιούχοι-ωφελούμενοι μπορούν να πραγματοποιήσουν έως 6 διανυκτερεύσεις σε τουριστικό κατάλυμα που επιλέγουν από το «Μητρώο Παρόχων» της ΔΥΠΑ, κατόπιν απευθείας συνεννόησής τους με τον πάροχο, με μικρή ιδιωτική συμμετοχή. 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Ειδικά για καταλύματα σε Λέρο, Λέσβο, Χίο, Κω και Σάμο μπορούν να πραγματοποιηθούν έως 10 διανυκτερεύσεις</w:t>
      </w:r>
      <w:r w:rsidR="0069245D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δωρεάν</w:t>
      </w:r>
      <w:r w:rsidR="00170224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(μηδενική ιδιωτική συμμετοχή)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, ενώ στα καταλύματα της Β. Εύβοιας, του Έβρου και της Θεσσαλίας (πλην Σποράδων) μπορούν να πραγματοποιηθούν έως 12</w:t>
      </w:r>
      <w:r w:rsidR="0069245D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δωρεάν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διανυκτερεύσεις.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Οι τιμές επιδότησης παραμένουν αυξημένες κατά 20% για τον μήνα αιχμής Αύγουστο</w:t>
      </w:r>
      <w:r w:rsidR="00EC67CD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και για τις περιόδους Χριστουγέννων και Πάσχα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. Η αύξηση ισχύει για όλο τον χρόνο για τα καταλύματα της Β. Εύβοιας, του Έβρου και της Θεσσαλίας. </w:t>
      </w: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216051" w:rsidP="0021605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Εκτός από τη διαμονή σε τουριστικά καταλύματα επιδοτούνται και ακτοπλοϊκά εισιτήρια. Η συμμετοχή των δικαιούχων ανέρχεται σε 25%</w:t>
      </w:r>
      <w:r w:rsidR="002039E4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. 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Για τα άτομα με αναπηρία τα ακτοπλοϊκά εισιτήρια διατίθενται δωρεάν.</w:t>
      </w:r>
    </w:p>
    <w:p w:rsidR="00216051" w:rsidRPr="007F6DC4" w:rsidRDefault="00216051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B14001" w:rsidRPr="007F6DC4" w:rsidRDefault="00B14001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Ποιο είναι δικαιούχοι του προγράμματος κοινωνικού τουρισμού;</w:t>
      </w:r>
    </w:p>
    <w:p w:rsidR="00B14001" w:rsidRPr="007F6DC4" w:rsidRDefault="00B14001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Δικαιούχοι του προγράμματος κοινωνικού τουρισμού είναι:</w:t>
      </w:r>
    </w:p>
    <w:p w:rsidR="00170224" w:rsidRPr="007F6DC4" w:rsidRDefault="00170224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pStyle w:val="a3"/>
        <w:numPr>
          <w:ilvl w:val="0"/>
          <w:numId w:val="5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εργαζόμενοι με εξαρτημένη σχέση εργασίας ιδιωτικού δικαίου κατά τη λήξη της προθεσμίας υποβολής αιτήσεων ή</w:t>
      </w:r>
    </w:p>
    <w:p w:rsidR="00B14001" w:rsidRPr="007F6DC4" w:rsidRDefault="00B14001" w:rsidP="00B14001">
      <w:pPr>
        <w:pStyle w:val="a3"/>
        <w:numPr>
          <w:ilvl w:val="0"/>
          <w:numId w:val="5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ασφαλισμένοι στον eEΦΚΑ στην επαγγελματική τους κατηγορία με εισφορές υπέρ του κλάδου ανεργίας της ΔΥΠΑ οποτεδήποτε στο διάστημα από 01.01.2023 έως την προηγουμένη της λήξης της προθεσμίας υποβολής αιτήσεων ή</w:t>
      </w:r>
    </w:p>
    <w:p w:rsidR="00B14001" w:rsidRPr="007F6DC4" w:rsidRDefault="00B14001" w:rsidP="00B14001">
      <w:pPr>
        <w:pStyle w:val="a3"/>
        <w:numPr>
          <w:ilvl w:val="0"/>
          <w:numId w:val="5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άνεργοι με συνεχόμενο χρονικό διάστημα ανεργίας τουλάχιστον τριών μηνών κατά την ημερομηνία λήξης της προθεσμίας υποβολής αιτήσεων.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305EC3" w:rsidRPr="007F6DC4" w:rsidRDefault="00170224" w:rsidP="0017022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lastRenderedPageBreak/>
        <w:t>Τ</w:t>
      </w:r>
      <w:r w:rsidR="00B1400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ο οικογενειακό εισόδημα δεν μπορεί να ξεπερνά τις 30.000 ευρώ, ενώ για τους μακροχρόνια ανέργους</w:t>
      </w:r>
      <w:r w:rsidR="00732B57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(ανεργία άνω των 12 μηνών)</w:t>
      </w:r>
      <w:r w:rsidR="00B1400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</w:t>
      </w:r>
      <w:r w:rsidR="00305EC3" w:rsidRPr="007F6DC4">
        <w:rPr>
          <w:rFonts w:cstheme="minorHAnsi"/>
          <w:sz w:val="24"/>
          <w:szCs w:val="24"/>
        </w:rPr>
        <w:t xml:space="preserve">το </w:t>
      </w:r>
      <w:r w:rsidR="00305EC3" w:rsidRPr="007F6DC4">
        <w:rPr>
          <w:rFonts w:eastAsia="Times New Roman" w:cstheme="minorHAnsi"/>
          <w:sz w:val="24"/>
          <w:szCs w:val="24"/>
        </w:rPr>
        <w:t xml:space="preserve">εισόδημα δεν μπορεί να ξεπερνά τα 16.000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τους άγαμους, τα 24.000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τους έγγαμους (προσαυξανόμενο κατά 5.000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ανά τέκνο) ή 29.000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τις μονογονεϊκές οικογένειες (προσαυξανόμενο κατά 5.000 </w:t>
      </w:r>
      <w:r w:rsidR="00305EC3" w:rsidRPr="007F6DC4">
        <w:rPr>
          <w:rFonts w:cstheme="minorHAnsi"/>
          <w:sz w:val="24"/>
          <w:szCs w:val="24"/>
        </w:rPr>
        <w:t>€</w:t>
      </w:r>
      <w:r w:rsidR="00305EC3" w:rsidRPr="007F6DC4">
        <w:rPr>
          <w:rFonts w:eastAsia="Times New Roman" w:cstheme="minorHAnsi"/>
          <w:sz w:val="24"/>
          <w:szCs w:val="24"/>
        </w:rPr>
        <w:t xml:space="preserve"> για κάθε τέκνο μετά το πρώτο)</w:t>
      </w:r>
      <w:r w:rsidR="009765E2" w:rsidRPr="007F6DC4">
        <w:rPr>
          <w:rFonts w:eastAsia="Times New Roman" w:cstheme="minorHAnsi"/>
          <w:sz w:val="24"/>
          <w:szCs w:val="24"/>
        </w:rPr>
        <w:t>.</w:t>
      </w:r>
    </w:p>
    <w:p w:rsidR="002D160F" w:rsidRPr="007F6DC4" w:rsidRDefault="002D160F" w:rsidP="0075072B">
      <w:pPr>
        <w:pStyle w:val="a3"/>
        <w:spacing w:after="0" w:line="240" w:lineRule="auto"/>
        <w:ind w:left="567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Σημειώνεται ότι δεν μπορούν να συμμετάσχουν στο πρόγραμμα εργαζόμενοι και άνεργοι που επιδοτούνται για τη συμμετοχή τους σε πρόγραμμα κοινωνικού τουρισμού οποιουδήποτε άλλου φορέα για την ίδια περίοδο</w:t>
      </w:r>
      <w:r w:rsidR="0021605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και όσοι (εκτός των ΑμεΑ) πήραν επιταγή στο πρόγραμμα 2023-24.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Πως επιλέγονται οι δικαιούχοι;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Η επιλογή των δικαιούχων βασίζεται στη μοριοδότηση συγκεκριμένων κριτηρίων (ΑμεΑ, μονογονέα, αριθμός παιδιών, εισόδημα</w:t>
      </w:r>
      <w:r w:rsidR="00305EC3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, συμμετοχή για </w:t>
      </w:r>
      <w:r w:rsidR="009765E2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πρώτη</w:t>
      </w:r>
      <w:r w:rsidR="00305EC3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φορά</w:t>
      </w: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) με αντικειμενικό και διαφανή τρόπο μέσω του Ολοκληρωμένου Πληροφοριακού Συστήματος (ΟΠΣ) της ΔΥΠΑ.</w:t>
      </w:r>
    </w:p>
    <w:p w:rsidR="00170224" w:rsidRPr="00AE1E62" w:rsidRDefault="00170224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Πως υποβάλλονται οι αιτήσεις;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Οι αιτήσεις υποβάλλονται αποκλειστικά ηλεκτρονικά μέσω gov.gr με τους κωδικούς TAXISnet, στην ηλεκτρονική διεύθυνση: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AE1E62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hyperlink r:id="rId5" w:history="1">
        <w:r w:rsidR="00B14001" w:rsidRPr="007F6DC4">
          <w:rPr>
            <w:rStyle w:val="-"/>
            <w:rFonts w:eastAsia="Times New Roman" w:cstheme="minorHAnsi"/>
            <w:bCs/>
            <w:iCs/>
            <w:color w:val="auto"/>
            <w:sz w:val="24"/>
            <w:szCs w:val="24"/>
            <w:lang w:eastAsia="el-GR"/>
          </w:rPr>
          <w:t>https://www.gov.gr/ipiresies/ergasia-kai-asphalise/apozemioseis-kai-parokhes/koinonikos-tourismos</w:t>
        </w:r>
      </w:hyperlink>
      <w:r w:rsidR="00170224" w:rsidRPr="007F6DC4">
        <w:rPr>
          <w:rStyle w:val="-"/>
          <w:rFonts w:eastAsia="Times New Roman" w:cstheme="minorHAnsi"/>
          <w:bCs/>
          <w:iCs/>
          <w:color w:val="auto"/>
          <w:sz w:val="24"/>
          <w:szCs w:val="24"/>
          <w:lang w:eastAsia="el-GR"/>
        </w:rPr>
        <w:t xml:space="preserve"> </w:t>
      </w:r>
      <w:r w:rsidR="00B14001" w:rsidRPr="007F6DC4">
        <w:rPr>
          <w:rFonts w:eastAsia="Times New Roman" w:cstheme="minorHAnsi"/>
          <w:bCs/>
          <w:iCs/>
          <w:sz w:val="24"/>
          <w:szCs w:val="24"/>
          <w:lang w:eastAsia="el-GR"/>
        </w:rPr>
        <w:t xml:space="preserve"> 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Συγκεκριμένα η διαδρομή είναι: Αρχική – Εργασία και ασφάλιση – Αποζημιώσεις και Παροχές – Προγράμματα Κοινωνικού Τουρισμού (ΔΥΠΑ)</w:t>
      </w:r>
    </w:p>
    <w:p w:rsidR="00B14001" w:rsidRPr="007F6DC4" w:rsidRDefault="00B14001" w:rsidP="00B14001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p w:rsidR="00216051" w:rsidRPr="007F6DC4" w:rsidRDefault="00B14001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iCs/>
          <w:sz w:val="24"/>
          <w:szCs w:val="24"/>
          <w:lang w:eastAsia="el-GR"/>
        </w:rPr>
        <w:t>Η πλατφόρμα θα ανοίγει σταδιακά ανάλογα με το τελευταίο ψηφίο του ΑΦΜ των ενδιαφερόμενων δικαιούχων, ως εξής:</w:t>
      </w:r>
    </w:p>
    <w:p w:rsidR="00216051" w:rsidRPr="007F6DC4" w:rsidRDefault="00216051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2487"/>
      </w:tblGrid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7F6DC4">
              <w:rPr>
                <w:rFonts w:cstheme="minorHAnsi"/>
                <w:b/>
                <w:i/>
                <w:sz w:val="24"/>
                <w:szCs w:val="24"/>
              </w:rPr>
              <w:t>ΤΕΛΕΥΤΑΙΟ ΨΗΦΙΟ ΑΦΜ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F6DC4">
              <w:rPr>
                <w:rFonts w:cstheme="minorHAnsi"/>
                <w:b/>
                <w:i/>
                <w:sz w:val="24"/>
                <w:szCs w:val="24"/>
              </w:rPr>
              <w:t>ΗΜΕΡΟΜΗΝΙΑ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03.06 &amp; 04.06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05.06 &amp; 06.06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2,3,4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07.06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4,5,6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08.06</w:t>
            </w:r>
          </w:p>
        </w:tc>
      </w:tr>
      <w:tr w:rsidR="00170224" w:rsidRPr="007F6DC4" w:rsidTr="00007297">
        <w:trPr>
          <w:trHeight w:val="315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7,8,9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4" w:rsidRPr="007F6DC4" w:rsidRDefault="00170224" w:rsidP="0017022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F6DC4">
              <w:rPr>
                <w:rFonts w:cstheme="minorHAnsi"/>
                <w:i/>
                <w:sz w:val="24"/>
                <w:szCs w:val="24"/>
              </w:rPr>
              <w:t>09.06</w:t>
            </w:r>
          </w:p>
        </w:tc>
      </w:tr>
    </w:tbl>
    <w:p w:rsidR="00B14001" w:rsidRPr="007F6DC4" w:rsidRDefault="00B14001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</w:p>
    <w:p w:rsidR="004B2809" w:rsidRPr="007F6DC4" w:rsidRDefault="004B2809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Πώς έχει εξελιχθεί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ο προϋπολογισμός 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το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υ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κ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οινωνικού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τ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 xml:space="preserve">ουρισμού </w:t>
      </w:r>
      <w:r w:rsidR="004F2D9E" w:rsidRPr="007F6DC4">
        <w:rPr>
          <w:rFonts w:eastAsia="Times New Roman" w:cstheme="minorHAnsi"/>
          <w:b/>
          <w:i/>
          <w:sz w:val="24"/>
          <w:szCs w:val="24"/>
          <w:lang w:eastAsia="el-GR"/>
        </w:rPr>
        <w:t>τα τελευταία χρόνια</w:t>
      </w:r>
      <w:r w:rsidRPr="007F6DC4">
        <w:rPr>
          <w:rFonts w:eastAsia="Times New Roman" w:cstheme="minorHAnsi"/>
          <w:b/>
          <w:i/>
          <w:sz w:val="24"/>
          <w:szCs w:val="24"/>
          <w:lang w:eastAsia="el-GR"/>
        </w:rPr>
        <w:t>;</w:t>
      </w:r>
    </w:p>
    <w:p w:rsidR="004B2809" w:rsidRPr="007F6DC4" w:rsidRDefault="004B2809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017EC7" w:rsidRPr="007F6DC4" w:rsidRDefault="00017EC7" w:rsidP="00170224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Το πρόγραμμα ξεκίνησε να υλοποιείται από τ</w:t>
      </w:r>
      <w:r w:rsidR="002039E4" w:rsidRPr="007F6DC4">
        <w:rPr>
          <w:rFonts w:eastAsia="Times New Roman" w:cstheme="minorHAnsi"/>
          <w:sz w:val="24"/>
          <w:szCs w:val="24"/>
          <w:lang w:eastAsia="el-GR"/>
        </w:rPr>
        <w:t xml:space="preserve">η ΔΥΠΑ </w:t>
      </w:r>
      <w:r w:rsidRPr="007F6DC4">
        <w:rPr>
          <w:rFonts w:eastAsia="Times New Roman" w:cstheme="minorHAnsi"/>
          <w:sz w:val="24"/>
          <w:szCs w:val="24"/>
          <w:lang w:eastAsia="el-GR"/>
        </w:rPr>
        <w:t>το 2013 με τον προϋπολογισμό του να ανέρχεται σε 10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 xml:space="preserve"> εκ.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 xml:space="preserve"> ευρώ</w:t>
      </w:r>
      <w:r w:rsidR="003D5BAA" w:rsidRPr="007F6DC4">
        <w:rPr>
          <w:rFonts w:eastAsia="Times New Roman" w:cstheme="minorHAnsi"/>
          <w:sz w:val="24"/>
          <w:szCs w:val="24"/>
          <w:lang w:eastAsia="el-GR"/>
        </w:rPr>
        <w:t xml:space="preserve">. Το 2020 ο προϋπολογισμός αυξήθηκε στα 37 εκατ. ευρώ, το 2022 ανήλθε στα 35 εκατ. ευρώ, </w:t>
      </w:r>
      <w:r w:rsidRPr="007F6DC4">
        <w:rPr>
          <w:rFonts w:eastAsia="Times New Roman" w:cstheme="minorHAnsi"/>
          <w:sz w:val="24"/>
          <w:szCs w:val="24"/>
          <w:lang w:eastAsia="el-GR"/>
        </w:rPr>
        <w:t>ενώ για το έτος 2024 προβλέπονται 50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 xml:space="preserve"> εκ.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lastRenderedPageBreak/>
        <w:t>ευρώ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>, 43% περισσότερα από πέρσι</w:t>
      </w:r>
      <w:r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sz w:val="24"/>
          <w:szCs w:val="24"/>
          <w:u w:val="single"/>
          <w:lang w:eastAsia="el-GR"/>
        </w:rPr>
        <w:t xml:space="preserve">Δηλαδή, ο προϋπολογισμός τετραπλασιάστηκε σε 5 χρόνια. </w:t>
      </w:r>
    </w:p>
    <w:p w:rsidR="00017EC7" w:rsidRPr="007F6DC4" w:rsidRDefault="00017EC7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3410D8" w:rsidRPr="007F6DC4" w:rsidRDefault="00017EC7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Ποι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ες</w:t>
      </w:r>
      <w:r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είναι 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οι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σημαντικότερ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ες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αλλαγές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στο πρόγραμμα</w:t>
      </w:r>
      <w:r w:rsidR="004F2D9E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 τα τελευταία χρόνια</w:t>
      </w:r>
      <w:r w:rsidR="003410D8" w:rsidRPr="007F6DC4">
        <w:rPr>
          <w:rFonts w:eastAsia="Times New Roman" w:cstheme="minorHAnsi"/>
          <w:b/>
          <w:i/>
          <w:iCs/>
          <w:sz w:val="24"/>
          <w:szCs w:val="24"/>
          <w:lang w:eastAsia="el-GR"/>
        </w:rPr>
        <w:t>;</w:t>
      </w:r>
    </w:p>
    <w:p w:rsidR="004F2D9E" w:rsidRPr="007F6DC4" w:rsidRDefault="004F2D9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4F2D9E" w:rsidRPr="007F6DC4" w:rsidRDefault="003C1578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Ο τριπλασιασμός </w:t>
      </w:r>
      <w:r w:rsidR="004F2D9E" w:rsidRPr="007F6DC4">
        <w:rPr>
          <w:rFonts w:eastAsia="Times New Roman" w:cstheme="minorHAnsi"/>
          <w:sz w:val="24"/>
          <w:szCs w:val="24"/>
          <w:lang w:eastAsia="el-GR"/>
        </w:rPr>
        <w:t>των επιταγών από 100.000 σε 300.000.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επιδότηση ακτοπλοϊκών εισιτηρίων.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αύξηση της μέγιστης διάρκειας διακοπών από 5 σε 6 βράδια.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μείωση της ιδιωτικής συμμετοχής.</w:t>
      </w:r>
    </w:p>
    <w:p w:rsidR="003C1578" w:rsidRPr="007F6DC4" w:rsidRDefault="003C1578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αύξηση των τιμών επιδότησης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 xml:space="preserve"> για όλες τις κατηγορίες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παρόχων.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Η ψηφιοποίηση και επιτάχυνση της αποπληρωμής των παρόχων. 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Το ειδικό καθεστώς 10 </w:t>
      </w:r>
      <w:r w:rsidR="00392FBB" w:rsidRPr="007F6DC4">
        <w:rPr>
          <w:rFonts w:eastAsia="Times New Roman" w:cstheme="minorHAnsi"/>
          <w:sz w:val="24"/>
          <w:szCs w:val="24"/>
          <w:lang w:eastAsia="el-GR"/>
        </w:rPr>
        <w:t xml:space="preserve">δωρεάν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διανυκτερεύσεων για 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>Χίο, Σάμο, Λέρο, Λέσβο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>Κω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4F2D9E" w:rsidRPr="007F6DC4" w:rsidRDefault="004F2D9E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Το ειδικό καθεστώς 12 </w:t>
      </w:r>
      <w:r w:rsidR="00392FBB" w:rsidRPr="007F6DC4">
        <w:rPr>
          <w:rFonts w:eastAsia="Times New Roman" w:cstheme="minorHAnsi"/>
          <w:sz w:val="24"/>
          <w:szCs w:val="24"/>
          <w:lang w:eastAsia="el-GR"/>
        </w:rPr>
        <w:t xml:space="preserve">δωρεάν </w:t>
      </w:r>
      <w:r w:rsidRPr="007F6DC4">
        <w:rPr>
          <w:rFonts w:eastAsia="Times New Roman" w:cstheme="minorHAnsi"/>
          <w:sz w:val="24"/>
          <w:szCs w:val="24"/>
          <w:lang w:eastAsia="el-GR"/>
        </w:rPr>
        <w:t>διανυκτερεύσεων</w:t>
      </w:r>
      <w:r w:rsidR="00392FBB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(μηδενική συμμετοχή) για περιοχές  που έχουν πληγεί από φυσικές καταστροφές</w:t>
      </w:r>
      <w:r w:rsidR="003C1578" w:rsidRPr="007F6DC4">
        <w:rPr>
          <w:rFonts w:eastAsia="Times New Roman" w:cstheme="minorHAnsi"/>
          <w:sz w:val="24"/>
          <w:szCs w:val="24"/>
          <w:lang w:eastAsia="el-GR"/>
        </w:rPr>
        <w:t xml:space="preserve"> και αυξημένης επιδότησης 20% για όλο το χρόνο για τους παρόχους των περιοχών</w:t>
      </w:r>
      <w:r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B14001" w:rsidRPr="007F6DC4" w:rsidRDefault="00B14001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Διευρύνθηκαν οι δικαιούχοι.</w:t>
      </w:r>
    </w:p>
    <w:p w:rsidR="003C1578" w:rsidRPr="007F6DC4" w:rsidRDefault="003C1578" w:rsidP="003C1578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αυξημένη επιδότηση των παρόχων κατά 20% για τον Αύγουστο</w:t>
      </w:r>
      <w:r w:rsidR="00D50DAB" w:rsidRPr="007F6DC4">
        <w:rPr>
          <w:rFonts w:eastAsia="Times New Roman" w:cstheme="minorHAnsi"/>
          <w:sz w:val="24"/>
          <w:szCs w:val="24"/>
          <w:lang w:eastAsia="el-GR"/>
        </w:rPr>
        <w:t xml:space="preserve"> και για τις γιορτές Χριστουγέννων και Πάσχα.</w:t>
      </w:r>
    </w:p>
    <w:p w:rsidR="00D669CA" w:rsidRPr="007F6DC4" w:rsidRDefault="003C1578" w:rsidP="00EF5E43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Η νωρίτερη έναρξη του προγράμματος από 1</w:t>
      </w:r>
      <w:r w:rsidRPr="007F6DC4">
        <w:rPr>
          <w:rFonts w:eastAsia="Times New Roman" w:cstheme="minorHAnsi"/>
          <w:sz w:val="24"/>
          <w:szCs w:val="24"/>
          <w:vertAlign w:val="superscript"/>
          <w:lang w:eastAsia="el-GR"/>
        </w:rPr>
        <w:t>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Αυγούστου σε 1</w:t>
      </w:r>
      <w:r w:rsidRPr="007F6DC4">
        <w:rPr>
          <w:rFonts w:eastAsia="Times New Roman" w:cstheme="minorHAnsi"/>
          <w:sz w:val="24"/>
          <w:szCs w:val="24"/>
          <w:vertAlign w:val="superscript"/>
          <w:lang w:eastAsia="el-GR"/>
        </w:rPr>
        <w:t>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Ιουλίου.</w:t>
      </w:r>
    </w:p>
    <w:p w:rsidR="003410D8" w:rsidRPr="007F6DC4" w:rsidRDefault="00D669CA" w:rsidP="00EF5E43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Ειδική μοριοδότηση για τα άτομα με αναπηρία και τους μονογονείς.</w:t>
      </w:r>
    </w:p>
    <w:p w:rsidR="00D669CA" w:rsidRPr="007F6DC4" w:rsidRDefault="00D669CA" w:rsidP="00D669CA">
      <w:pPr>
        <w:pStyle w:val="a3"/>
        <w:shd w:val="clear" w:color="auto" w:fill="FDFDFC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3410D8" w:rsidRPr="007F6DC4" w:rsidRDefault="003410D8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Πώς ενισχύονται περιοχές που δοκιμάζονται </w:t>
      </w:r>
      <w:r w:rsidR="00C30F26"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από </w:t>
      </w:r>
      <w:r w:rsidR="00BD7D5D"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διάφορες αιτίες </w:t>
      </w:r>
      <w:r w:rsidRPr="007F6DC4">
        <w:rPr>
          <w:rFonts w:eastAsia="Times New Roman" w:cstheme="minorHAnsi"/>
          <w:b/>
          <w:sz w:val="24"/>
          <w:szCs w:val="24"/>
          <w:lang w:eastAsia="el-GR"/>
        </w:rPr>
        <w:t>π.χ από φυσικές καταστροφές</w:t>
      </w:r>
      <w:r w:rsidR="00C30F26" w:rsidRPr="007F6DC4">
        <w:rPr>
          <w:rFonts w:eastAsia="Times New Roman" w:cstheme="minorHAnsi"/>
          <w:b/>
          <w:sz w:val="24"/>
          <w:szCs w:val="24"/>
          <w:lang w:eastAsia="el-GR"/>
        </w:rPr>
        <w:t>;</w:t>
      </w:r>
    </w:p>
    <w:p w:rsidR="00BD7D5D" w:rsidRPr="007F6DC4" w:rsidRDefault="00BD7D5D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170224" w:rsidRPr="007F6DC4" w:rsidRDefault="003C1578" w:rsidP="00170224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Φέτος, 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επιπλέον των πυρόπληκτων περιοχών της Β. Εύβοιας και του Έβρου,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προστίθεται η Θεσσαλία (εκτός των Σποράδων) στο ειδικό καθεστώς των 12 διανυκτερεύσεων εντελώς δωρεάν (μηδενική </w:t>
      </w:r>
      <w:r w:rsidR="00170224" w:rsidRPr="007F6DC4">
        <w:rPr>
          <w:rFonts w:eastAsia="Times New Roman" w:cstheme="minorHAnsi"/>
          <w:sz w:val="24"/>
          <w:szCs w:val="24"/>
          <w:lang w:eastAsia="el-GR"/>
        </w:rPr>
        <w:t xml:space="preserve">ιδιωτική </w:t>
      </w:r>
      <w:r w:rsidRPr="007F6DC4">
        <w:rPr>
          <w:rFonts w:eastAsia="Times New Roman" w:cstheme="minorHAnsi"/>
          <w:sz w:val="24"/>
          <w:szCs w:val="24"/>
          <w:lang w:eastAsia="el-GR"/>
        </w:rPr>
        <w:t>συμμετοχή) και αυξημένης επιδότησης 20% για όλο το χρόνο για τους παρόχους των περιοχών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170224" w:rsidRPr="007F6DC4" w:rsidRDefault="00170224" w:rsidP="00170224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Επίσης, σε Λέρο, Λέσβο, Χίο, Κω και Σάμο μπορούν να πραγματοποιηθούν έως 10 διανυκτερεύσεις δωρεάν (μηδενική ιδιωτική συμμετοχή).</w:t>
      </w:r>
    </w:p>
    <w:p w:rsidR="003C1578" w:rsidRPr="007F6DC4" w:rsidRDefault="003C1578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BD7D5D" w:rsidRPr="007F6DC4" w:rsidRDefault="00BD7D5D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>Ποια μέριμνα έχει ληφθεί για ειδικές ομάδες πληθυσμού</w:t>
      </w:r>
      <w:r w:rsidR="009D2F2E" w:rsidRPr="007F6DC4">
        <w:rPr>
          <w:rFonts w:eastAsia="Times New Roman" w:cstheme="minorHAnsi"/>
          <w:b/>
          <w:sz w:val="24"/>
          <w:szCs w:val="24"/>
          <w:lang w:eastAsia="el-GR"/>
        </w:rPr>
        <w:t>;</w:t>
      </w:r>
    </w:p>
    <w:p w:rsidR="00D669CA" w:rsidRPr="007F6DC4" w:rsidRDefault="00D669CA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D669CA" w:rsidRPr="007F6DC4" w:rsidRDefault="00D669CA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Το πρόγραμμα προβλέπει </w:t>
      </w:r>
      <w:r w:rsidR="00EF5E43" w:rsidRPr="007F6DC4">
        <w:rPr>
          <w:rFonts w:eastAsia="Times New Roman" w:cstheme="minorHAnsi"/>
          <w:sz w:val="24"/>
          <w:szCs w:val="24"/>
          <w:lang w:eastAsia="el-GR"/>
        </w:rPr>
        <w:t xml:space="preserve">ειδική 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>μοριοδότηση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για τους μονογονείς και για τα ΑμεΑ.</w:t>
      </w:r>
    </w:p>
    <w:p w:rsidR="00BD7D5D" w:rsidRPr="007F6DC4" w:rsidRDefault="00D669CA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Για τα ΑμεΑ προβλέπεται </w:t>
      </w:r>
      <w:r w:rsidR="00FC3DE1" w:rsidRPr="007F6DC4">
        <w:rPr>
          <w:rFonts w:eastAsia="Times New Roman" w:cstheme="minorHAnsi"/>
          <w:sz w:val="24"/>
          <w:szCs w:val="24"/>
          <w:lang w:eastAsia="el-GR"/>
        </w:rPr>
        <w:t xml:space="preserve">επιπλέον </w:t>
      </w:r>
      <w:r w:rsidRPr="007F6DC4">
        <w:rPr>
          <w:rFonts w:eastAsia="Times New Roman" w:cstheme="minorHAnsi"/>
          <w:sz w:val="24"/>
          <w:szCs w:val="24"/>
          <w:lang w:eastAsia="el-GR"/>
        </w:rPr>
        <w:t>δυνατότητα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 xml:space="preserve"> συμμετοχή</w:t>
      </w:r>
      <w:r w:rsidRPr="007F6DC4">
        <w:rPr>
          <w:rFonts w:eastAsia="Times New Roman" w:cstheme="minorHAnsi"/>
          <w:sz w:val="24"/>
          <w:szCs w:val="24"/>
          <w:lang w:eastAsia="el-GR"/>
        </w:rPr>
        <w:t>ς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 xml:space="preserve"> κάθε χρόνο, </w:t>
      </w:r>
      <w:r w:rsidR="00EF5E43" w:rsidRPr="007F6DC4">
        <w:rPr>
          <w:rFonts w:eastAsia="Times New Roman" w:cstheme="minorHAnsi"/>
          <w:sz w:val="24"/>
          <w:szCs w:val="24"/>
          <w:lang w:eastAsia="el-GR"/>
        </w:rPr>
        <w:t>δικαίωμα συνοδού</w:t>
      </w:r>
      <w:r w:rsidR="00BD7D5D" w:rsidRPr="007F6DC4">
        <w:rPr>
          <w:rFonts w:eastAsia="Times New Roman" w:cstheme="minorHAnsi"/>
          <w:sz w:val="24"/>
          <w:szCs w:val="24"/>
          <w:lang w:eastAsia="el-GR"/>
        </w:rPr>
        <w:t xml:space="preserve"> και μηδενική ιδιωτική συμμετοχή στα ακτοπλοϊκά εισιτήρια</w:t>
      </w:r>
      <w:r w:rsidRPr="007F6DC4">
        <w:rPr>
          <w:rFonts w:eastAsia="Times New Roman" w:cstheme="minorHAnsi"/>
          <w:sz w:val="24"/>
          <w:szCs w:val="24"/>
          <w:lang w:eastAsia="el-GR"/>
        </w:rPr>
        <w:t>, ενώ δεν τους επιβάλλεται κύρωση αν δεν κάνουν χρήση των επιταγών τους.</w:t>
      </w:r>
    </w:p>
    <w:p w:rsidR="00BD7D5D" w:rsidRPr="007F6DC4" w:rsidRDefault="00BD7D5D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Για τους </w:t>
      </w:r>
      <w:r w:rsidR="00EF5E43" w:rsidRPr="007F6DC4">
        <w:rPr>
          <w:rFonts w:eastAsia="Times New Roman" w:cstheme="minorHAnsi"/>
          <w:sz w:val="24"/>
          <w:szCs w:val="24"/>
          <w:lang w:eastAsia="el-GR"/>
        </w:rPr>
        <w:t>γονείς,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προβλέπεται αυξημένη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 μοριοδότηση για 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κάθε ανήλικο παιδί. </w:t>
      </w:r>
    </w:p>
    <w:p w:rsidR="00D669CA" w:rsidRPr="007F6DC4" w:rsidRDefault="00D669CA" w:rsidP="00D669CA">
      <w:pPr>
        <w:pStyle w:val="a3"/>
        <w:numPr>
          <w:ilvl w:val="0"/>
          <w:numId w:val="3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Προβλέπεται αυξημένη μοριοδότηση για δικαιούχους με χαμηλότερο εισόδημα. </w:t>
      </w:r>
    </w:p>
    <w:p w:rsidR="00BD7D5D" w:rsidRPr="007F6DC4" w:rsidRDefault="00BD7D5D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D669CA" w:rsidRPr="007F6DC4" w:rsidRDefault="00235565" w:rsidP="00D669CA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 xml:space="preserve">Ποιες είναι οι </w:t>
      </w:r>
      <w:r w:rsidR="00D669CA" w:rsidRPr="007F6DC4">
        <w:rPr>
          <w:rFonts w:eastAsia="Times New Roman" w:cstheme="minorHAnsi"/>
          <w:b/>
          <w:sz w:val="24"/>
          <w:szCs w:val="24"/>
          <w:lang w:eastAsia="el-GR"/>
        </w:rPr>
        <w:t>πιο σημαντικές αλλαγές στο νέο πρόγραμμα 2024</w:t>
      </w:r>
      <w:r w:rsidRPr="007F6DC4">
        <w:rPr>
          <w:rFonts w:eastAsia="Times New Roman" w:cstheme="minorHAnsi"/>
          <w:b/>
          <w:sz w:val="24"/>
          <w:szCs w:val="24"/>
          <w:lang w:eastAsia="el-GR"/>
        </w:rPr>
        <w:t>-2025;</w:t>
      </w:r>
    </w:p>
    <w:p w:rsidR="00D669CA" w:rsidRPr="007F6DC4" w:rsidRDefault="00D669CA" w:rsidP="00D669CA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235565" w:rsidRPr="007F6DC4" w:rsidRDefault="00235565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Αύξηση του προϋπολογισμού από 35.000.000€ σε 50.000.000€</w:t>
      </w:r>
    </w:p>
    <w:p w:rsidR="00D669CA" w:rsidRPr="007F6DC4" w:rsidRDefault="00D669CA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Προσθήκη της Θεσσαλίας (πλην Σποράδων) στο ειδικό καθεστώς των 12 δωρεάν διανυκτερεύσεων και της ενισχυμένης επιδότησης παρόχων</w:t>
      </w:r>
    </w:p>
    <w:p w:rsidR="00D669CA" w:rsidRPr="007F6DC4" w:rsidRDefault="00B97467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Αυξημένες τιμές επιδότησης</w:t>
      </w:r>
      <w:r w:rsidR="00A911E1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333B2" w:rsidRPr="007F6DC4">
        <w:rPr>
          <w:rFonts w:eastAsia="Times New Roman" w:cstheme="minorHAnsi"/>
          <w:sz w:val="24"/>
          <w:szCs w:val="24"/>
          <w:lang w:eastAsia="el-GR"/>
        </w:rPr>
        <w:t>για όλες τις κατηγορίες καταλυμάτων</w:t>
      </w:r>
    </w:p>
    <w:p w:rsidR="00D669CA" w:rsidRPr="007F6DC4" w:rsidRDefault="00D669CA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Cs/>
          <w:sz w:val="24"/>
          <w:szCs w:val="24"/>
          <w:lang w:eastAsia="el-GR"/>
        </w:rPr>
        <w:t>Μ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>οριοδότηση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για όσους δεν 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>πήραν επιταγές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 στο παρελθόν ή 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>δεν πήραν επιταγή εξαιτίας</w:t>
      </w:r>
      <w:r w:rsidR="00EF5E43" w:rsidRPr="007F6DC4">
        <w:rPr>
          <w:rFonts w:eastAsia="Times New Roman" w:cstheme="minorHAnsi"/>
          <w:bCs/>
          <w:sz w:val="24"/>
          <w:szCs w:val="24"/>
          <w:lang w:eastAsia="el-GR"/>
        </w:rPr>
        <w:t xml:space="preserve"> μοριοδότησης στα </w:t>
      </w:r>
      <w:r w:rsidRPr="007F6DC4">
        <w:rPr>
          <w:rFonts w:eastAsia="Times New Roman" w:cstheme="minorHAnsi"/>
          <w:bCs/>
          <w:sz w:val="24"/>
          <w:szCs w:val="24"/>
          <w:lang w:eastAsia="el-GR"/>
        </w:rPr>
        <w:t>δυο τελευταία προγράμματα</w:t>
      </w:r>
    </w:p>
    <w:p w:rsidR="00EF5E43" w:rsidRPr="007F6DC4" w:rsidRDefault="00EF5E43" w:rsidP="00D669CA">
      <w:pPr>
        <w:pStyle w:val="a3"/>
        <w:numPr>
          <w:ilvl w:val="0"/>
          <w:numId w:val="4"/>
        </w:numPr>
        <w:shd w:val="clear" w:color="auto" w:fill="FDFDFC"/>
        <w:spacing w:after="0" w:line="240" w:lineRule="auto"/>
        <w:ind w:left="567" w:hanging="283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Δημιουργία μητρώου παρόχων στο οποίο συμμετέχουν αυτόματα οι πάροχοι του προηγούμενου </w:t>
      </w:r>
      <w:r w:rsidR="005E5E46" w:rsidRPr="007F6DC4">
        <w:rPr>
          <w:rFonts w:eastAsia="Times New Roman" w:cstheme="minorHAnsi"/>
          <w:sz w:val="24"/>
          <w:szCs w:val="24"/>
          <w:lang w:eastAsia="el-GR"/>
        </w:rPr>
        <w:t>προγράμματος</w:t>
      </w:r>
      <w:r w:rsidR="000C6DB2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D669CA" w:rsidRPr="007F6DC4" w:rsidRDefault="00D669CA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C94192" w:rsidRPr="007F6DC4" w:rsidRDefault="00EF5E43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7F6DC4">
        <w:rPr>
          <w:rFonts w:eastAsia="Times New Roman" w:cstheme="minorHAnsi"/>
          <w:b/>
          <w:sz w:val="24"/>
          <w:szCs w:val="24"/>
          <w:lang w:eastAsia="el-GR"/>
        </w:rPr>
        <w:t>Πόσο μπορεί να επωφεληθεί οικογένεια που θα πραγματοποιήσει διακοπές στο πλαίσιο του προγράμματος 2024;</w:t>
      </w:r>
    </w:p>
    <w:p w:rsidR="00EF5E43" w:rsidRPr="007F6DC4" w:rsidRDefault="00EF5E43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EF5E43" w:rsidRPr="007F6DC4" w:rsidRDefault="00EF5E43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Έστω ότι 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μια 4μελής οικογένεια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επιλέγει να μείνει στην Κρήτη </w:t>
      </w:r>
      <w:r w:rsidR="008D4E00" w:rsidRPr="007F6DC4">
        <w:rPr>
          <w:rFonts w:eastAsia="Times New Roman" w:cstheme="minorHAnsi"/>
          <w:sz w:val="24"/>
          <w:szCs w:val="24"/>
          <w:lang w:eastAsia="el-GR"/>
        </w:rPr>
        <w:t xml:space="preserve">από 01.07 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σε ξενοδοχείο 5 αστέρων </w:t>
      </w:r>
      <w:r w:rsidR="008D4E00" w:rsidRPr="007F6DC4">
        <w:rPr>
          <w:rFonts w:eastAsia="Times New Roman" w:cstheme="minorHAnsi"/>
          <w:sz w:val="24"/>
          <w:szCs w:val="24"/>
          <w:lang w:eastAsia="el-GR"/>
        </w:rPr>
        <w:t xml:space="preserve">με πρωινό </w:t>
      </w:r>
      <w:r w:rsidRPr="007F6DC4">
        <w:rPr>
          <w:rFonts w:eastAsia="Times New Roman" w:cstheme="minorHAnsi"/>
          <w:sz w:val="24"/>
          <w:szCs w:val="24"/>
          <w:lang w:eastAsia="el-GR"/>
        </w:rPr>
        <w:t>για 6 διανυκτερεύσεις</w:t>
      </w:r>
      <w:r w:rsidR="008D4E00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 xml:space="preserve">Θα πάρει επιδότηση για το 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ξενοδοχείο </w:t>
      </w:r>
      <w:r w:rsidRPr="007F6DC4">
        <w:rPr>
          <w:rFonts w:eastAsia="Times New Roman" w:cstheme="minorHAnsi"/>
          <w:sz w:val="24"/>
          <w:szCs w:val="24"/>
          <w:lang w:eastAsia="el-GR"/>
        </w:rPr>
        <w:t>840€ (4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άτομα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6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διανυκτερεύσεις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35€)</w:t>
      </w: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Για τα ακτοπλοϊκά με τιμή 100€ μετ’ επιστροφής, 200 € (50</w:t>
      </w:r>
      <w:r w:rsidR="00D669CA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4)</w:t>
      </w: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Σύνολο 1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Pr="007F6DC4">
        <w:rPr>
          <w:rFonts w:eastAsia="Times New Roman" w:cstheme="minorHAnsi"/>
          <w:sz w:val="24"/>
          <w:szCs w:val="24"/>
          <w:lang w:eastAsia="el-GR"/>
        </w:rPr>
        <w:t>040€</w:t>
      </w: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Αν η διαμονή ορισθεί τον Αύγουστο η επιδότηση θα είναι προσαυξημένη κατά 20% και θα διαμορφωθεί στα 1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.</w:t>
      </w:r>
      <w:r w:rsidRPr="007F6DC4">
        <w:rPr>
          <w:rFonts w:eastAsia="Times New Roman" w:cstheme="minorHAnsi"/>
          <w:sz w:val="24"/>
          <w:szCs w:val="24"/>
          <w:lang w:eastAsia="el-GR"/>
        </w:rPr>
        <w:t xml:space="preserve">008 € 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για το 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>ξενοδοχείο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F6DC4">
        <w:rPr>
          <w:rFonts w:eastAsia="Times New Roman" w:cstheme="minorHAnsi"/>
          <w:sz w:val="24"/>
          <w:szCs w:val="24"/>
          <w:lang w:eastAsia="el-GR"/>
        </w:rPr>
        <w:t>(42€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4άτομα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6 διανυκτερεύσεις)</w:t>
      </w: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Έστω ότι η ίδια οικογένεια επιλέξει για τη διαμονή τη Β. Εύβοια για την ίδια κατηγορία ξενοδοχείου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 xml:space="preserve"> για 12 διανυκτερεύσεις</w:t>
      </w:r>
      <w:r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2A0C1E" w:rsidRPr="007F6DC4" w:rsidRDefault="002A0C1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4E00" w:rsidRPr="007F6DC4" w:rsidRDefault="008D4E00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Θα πάρει επιδότηση 2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.688</w:t>
      </w:r>
      <w:r w:rsidRPr="007F6DC4">
        <w:rPr>
          <w:rFonts w:eastAsia="Times New Roman" w:cstheme="minorHAnsi"/>
          <w:sz w:val="24"/>
          <w:szCs w:val="24"/>
          <w:lang w:eastAsia="el-GR"/>
        </w:rPr>
        <w:t>€ (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56€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4 άτομα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="00A0196E" w:rsidRPr="007F6DC4">
        <w:rPr>
          <w:rFonts w:eastAsia="Times New Roman" w:cstheme="minorHAnsi"/>
          <w:sz w:val="24"/>
          <w:szCs w:val="24"/>
          <w:lang w:eastAsia="el-GR"/>
        </w:rPr>
        <w:t>12 διανυκτερεύσεις)</w:t>
      </w:r>
    </w:p>
    <w:p w:rsidR="00A0196E" w:rsidRPr="007F6DC4" w:rsidRDefault="00A0196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A0196E" w:rsidRPr="00AE1E62" w:rsidRDefault="00A0196E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7F6DC4">
        <w:rPr>
          <w:rFonts w:eastAsia="Times New Roman" w:cstheme="minorHAnsi"/>
          <w:sz w:val="24"/>
          <w:szCs w:val="24"/>
          <w:lang w:eastAsia="el-GR"/>
        </w:rPr>
        <w:t>Αν επιλέξει να μείνει σε ξενοδοχείο 3 αστέρων θα πάρει επιδότηση 2.064€ (43€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4 άτομα</w:t>
      </w:r>
      <w:r w:rsidR="002A0C1E" w:rsidRPr="007F6DC4">
        <w:rPr>
          <w:rFonts w:eastAsia="Times New Roman" w:cstheme="minorHAnsi"/>
          <w:sz w:val="24"/>
          <w:szCs w:val="24"/>
          <w:lang w:eastAsia="el-GR"/>
        </w:rPr>
        <w:t xml:space="preserve"> Χ </w:t>
      </w:r>
      <w:r w:rsidRPr="007F6DC4">
        <w:rPr>
          <w:rFonts w:eastAsia="Times New Roman" w:cstheme="minorHAnsi"/>
          <w:sz w:val="24"/>
          <w:szCs w:val="24"/>
          <w:lang w:eastAsia="el-GR"/>
        </w:rPr>
        <w:t>12 διανυκτερεύσεις)</w:t>
      </w:r>
      <w:r w:rsidR="00CE7D50" w:rsidRPr="007F6DC4">
        <w:rPr>
          <w:rFonts w:eastAsia="Times New Roman" w:cstheme="minorHAnsi"/>
          <w:sz w:val="24"/>
          <w:szCs w:val="24"/>
          <w:lang w:eastAsia="el-GR"/>
        </w:rPr>
        <w:t>.</w:t>
      </w: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F6DC4" w:rsidRPr="00AE1E62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F6DC4" w:rsidRPr="007F6DC4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  <w:proofErr w:type="spellStart"/>
      <w:r w:rsidRPr="007F6DC4">
        <w:rPr>
          <w:rFonts w:cstheme="minorHAnsi"/>
          <w:b/>
          <w:bCs/>
          <w:sz w:val="24"/>
          <w:szCs w:val="24"/>
          <w:u w:val="single"/>
        </w:rPr>
        <w:lastRenderedPageBreak/>
        <w:t>Ακουλουθούν</w:t>
      </w:r>
      <w:proofErr w:type="spellEnd"/>
      <w:r w:rsidRPr="007F6DC4">
        <w:rPr>
          <w:rFonts w:cstheme="minorHAnsi"/>
          <w:b/>
          <w:bCs/>
          <w:sz w:val="24"/>
          <w:szCs w:val="24"/>
          <w:u w:val="single"/>
        </w:rPr>
        <w:t xml:space="preserve"> αναλυτικοί πίνακες με τις τιμές επιδότησης και τα ανώτατα ποσά ιδιωτικής συμμετοχής </w:t>
      </w:r>
    </w:p>
    <w:p w:rsidR="007F6DC4" w:rsidRPr="007F6DC4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F6DC4" w:rsidRPr="007F6DC4" w:rsidRDefault="007F6DC4" w:rsidP="007F6DC4">
      <w:pPr>
        <w:tabs>
          <w:tab w:val="left" w:pos="7938"/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F6DC4">
        <w:rPr>
          <w:rFonts w:cstheme="minorHAnsi"/>
          <w:b/>
          <w:bCs/>
          <w:sz w:val="24"/>
          <w:szCs w:val="24"/>
          <w:u w:val="single"/>
        </w:rPr>
        <w:t>ΠΙΝΑΚΑΣ 1</w:t>
      </w:r>
    </w:p>
    <w:p w:rsidR="007F6DC4" w:rsidRPr="007F6DC4" w:rsidRDefault="007F6DC4" w:rsidP="007F6DC4">
      <w:pPr>
        <w:tabs>
          <w:tab w:val="left" w:pos="7938"/>
        </w:tabs>
        <w:ind w:right="626"/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tabs>
          <w:tab w:val="left" w:pos="8222"/>
        </w:tabs>
        <w:ind w:right="84"/>
        <w:jc w:val="center"/>
        <w:rPr>
          <w:rFonts w:cstheme="minorHAnsi"/>
          <w:b/>
          <w:bCs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ΤΙΜΕΣ ΕΠΙΔΟΤΗΣΗΣ ΓΙΑ ΚΑΤΑΛΥΜΑΤΑ ΟΛΩΝ ΤΩΝ ΠΕΡΙΟΧΩΝ ΠΛΗΝ ΤΩΝ ΔΗΜΩΝ ΙΣΤΙΑΙΑΣ – ΑΙΔΗΨΟΥ ΚΑΙ ΜΑΝΤΟΥΔΙΟΥ – ΛΙΜΝΗΣ – ΑΓ. ΑΝΝΑΣ ΤΗΣ ΕΥΒΟΙΑΣ ΚΑΙ  ΤΩΝ ΠΕΡΙΦΕΡΕΙΑΚΩΝ ΕΝΟΤΗΤΩΝ ΜΑΓΝΗΣΙΑΣ, ΚΑΡΔΙΤΣΑΣ, ΛΑΡΙΣΑΣ, ΤΡΙΚΑΛΩΝ ΚΑΙ ΕΒΡΟΥ</w:t>
      </w:r>
    </w:p>
    <w:p w:rsidR="007F6DC4" w:rsidRPr="007F6DC4" w:rsidRDefault="007F6DC4" w:rsidP="007F6DC4">
      <w:pPr>
        <w:tabs>
          <w:tab w:val="left" w:pos="7938"/>
        </w:tabs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tabs>
          <w:tab w:val="left" w:pos="8222"/>
        </w:tabs>
        <w:jc w:val="center"/>
        <w:rPr>
          <w:rFonts w:cstheme="minorHAnsi"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(ΑΝΑ ΔΙΚΑΙΟΥΧΟ/ΩΦΕΛΟΥΜΕΝΟ – ΑΝΑ ΔΙΑΝΥΚΤΕΡΕΥΣΗ)</w:t>
      </w:r>
    </w:p>
    <w:p w:rsidR="007F6DC4" w:rsidRPr="007F6DC4" w:rsidRDefault="007F6DC4" w:rsidP="007F6DC4">
      <w:pPr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9"/>
        <w:gridCol w:w="2037"/>
        <w:gridCol w:w="1458"/>
        <w:gridCol w:w="1828"/>
      </w:tblGrid>
      <w:tr w:rsidR="007F6DC4" w:rsidRPr="007F6DC4" w:rsidTr="00C51A6B">
        <w:trPr>
          <w:trHeight w:val="25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2857"/>
              </w:tabs>
              <w:ind w:right="3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ΤΥΠΟΣ ΚΑΤΑΛΥΜΑΤΟΣ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ΚΑΤΗΓΟΡΙΑ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ΜΕ ΠΡΩΙΝΟ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166"/>
              </w:tabs>
              <w:ind w:right="111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ΧΩΡΙΣ ΠΡΩΙΝΟ</w:t>
            </w:r>
          </w:p>
        </w:tc>
      </w:tr>
      <w:tr w:rsidR="007F6DC4" w:rsidRPr="007F6DC4" w:rsidTr="00C51A6B">
        <w:trPr>
          <w:cantSplit/>
          <w:trHeight w:val="258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F6DC4">
              <w:rPr>
                <w:rFonts w:cstheme="minorHAnsi"/>
                <w:bCs/>
                <w:sz w:val="24"/>
                <w:szCs w:val="24"/>
              </w:rPr>
              <w:t>ΞΕΝΟΔΟΧΕΙΑ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28€</w:t>
            </w:r>
          </w:p>
        </w:tc>
      </w:tr>
      <w:tr w:rsidR="007F6DC4" w:rsidRPr="007F6DC4" w:rsidTr="00C51A6B">
        <w:trPr>
          <w:cantSplit/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26€</w:t>
            </w:r>
          </w:p>
        </w:tc>
      </w:tr>
      <w:tr w:rsidR="007F6DC4" w:rsidRPr="007F6DC4" w:rsidTr="00C51A6B">
        <w:trPr>
          <w:cantSplit/>
          <w:trHeight w:val="19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30€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</w:tr>
      <w:tr w:rsidR="007F6DC4" w:rsidRPr="007F6DC4" w:rsidTr="00C51A6B">
        <w:trPr>
          <w:cantSplit/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23€</w:t>
            </w:r>
          </w:p>
        </w:tc>
      </w:tr>
      <w:tr w:rsidR="007F6DC4" w:rsidRPr="007F6DC4" w:rsidTr="00C51A6B">
        <w:trPr>
          <w:cantSplit/>
          <w:trHeight w:val="6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 ΑΣΤΕΡΟΣ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21€</w:t>
            </w:r>
          </w:p>
        </w:tc>
      </w:tr>
      <w:tr w:rsidR="007F6DC4" w:rsidRPr="007F6DC4" w:rsidTr="00C51A6B">
        <w:trPr>
          <w:cantSplit/>
          <w:trHeight w:val="296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ΕΝΟΙΚΙΑΖΟΜΕΝΑ ΕΠΙΠΛΩΜΕΝΑ ΔΙΑΜΕΡΙΣΜΑΤΑ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Pr="007F6DC4">
              <w:rPr>
                <w:rFonts w:cstheme="minorHAnsi"/>
                <w:sz w:val="24"/>
                <w:szCs w:val="24"/>
              </w:rPr>
              <w:t>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27€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</w:tr>
      <w:tr w:rsidR="007F6DC4" w:rsidRPr="007F6DC4" w:rsidTr="00C51A6B">
        <w:trPr>
          <w:cantSplit/>
          <w:trHeight w:val="273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24€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</w:t>
            </w:r>
            <w:r w:rsidRPr="007F6DC4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7F6DC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F6DC4" w:rsidRPr="007F6DC4" w:rsidTr="00C51A6B">
        <w:trPr>
          <w:cantSplit/>
          <w:trHeight w:val="26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20€</w:t>
            </w:r>
          </w:p>
        </w:tc>
      </w:tr>
      <w:tr w:rsidR="007F6DC4" w:rsidRPr="007F6DC4" w:rsidTr="00C51A6B">
        <w:trPr>
          <w:cantSplit/>
          <w:trHeight w:val="28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18€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16€</w:t>
            </w:r>
          </w:p>
        </w:tc>
      </w:tr>
      <w:tr w:rsidR="007F6DC4" w:rsidRPr="007F6DC4" w:rsidTr="00C51A6B">
        <w:trPr>
          <w:cantSplit/>
          <w:trHeight w:val="8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DC4">
              <w:rPr>
                <w:rFonts w:cstheme="minorHAnsi"/>
                <w:color w:val="000000"/>
                <w:sz w:val="24"/>
                <w:szCs w:val="24"/>
              </w:rPr>
              <w:t>1 ΚΛΕΙΔΙ &amp;</w:t>
            </w:r>
          </w:p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ΧΩΡΙΣ ΚΑΤΑΤΑΞΗ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16€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15€</w:t>
            </w:r>
          </w:p>
        </w:tc>
      </w:tr>
      <w:tr w:rsidR="007F6DC4" w:rsidRPr="007F6DC4" w:rsidTr="00C51A6B">
        <w:trPr>
          <w:trHeight w:val="66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ΤΟΥΡΙΣΤΙΚΕΣ ΕΠΙΠΛΩΜΕΝΕΣ ΚΑΤΟΙΚΙΕΣ – ΕΠΑΥΛΕΙΣ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19€</w:t>
            </w:r>
          </w:p>
        </w:tc>
      </w:tr>
      <w:tr w:rsidR="007F6DC4" w:rsidRPr="007F6DC4" w:rsidTr="00C51A6B">
        <w:trPr>
          <w:trHeight w:val="69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ΟΡΓΑΝΩΜΕΝΕΣ ΚΑΤΑΣΚΗΝΩΣΕΙΣ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left="41" w:hanging="4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11€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10€</w:t>
            </w:r>
          </w:p>
        </w:tc>
      </w:tr>
    </w:tbl>
    <w:p w:rsidR="007F6DC4" w:rsidRPr="007F6DC4" w:rsidRDefault="007F6DC4" w:rsidP="007F6DC4">
      <w:pPr>
        <w:rPr>
          <w:rFonts w:cstheme="minorHAnsi"/>
          <w:sz w:val="24"/>
          <w:szCs w:val="24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  <w:u w:val="single"/>
        </w:rPr>
      </w:pPr>
      <w:r w:rsidRPr="007F6DC4">
        <w:rPr>
          <w:rFonts w:cstheme="minorHAnsi"/>
          <w:b/>
          <w:sz w:val="24"/>
          <w:szCs w:val="24"/>
          <w:u w:val="single"/>
        </w:rPr>
        <w:t>ΠΙΝΑΚΑΣ 2</w:t>
      </w: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  <w:r w:rsidRPr="007F6DC4">
        <w:rPr>
          <w:rFonts w:cstheme="minorHAnsi"/>
          <w:b/>
          <w:sz w:val="24"/>
          <w:szCs w:val="24"/>
        </w:rPr>
        <w:t>ΑΝΩΤΑΤΑ ΠΟΣΑ ΙΔΙΩΤΙΚΗΣ ΣΥΜΜΕΤΟΧΗΣ ΣΕ ΚΑΤΑΛΥΜΑΤΑ ΟΛΩΝ ΤΩΝ ΠΕΡΙΟΧΩΝ ΠΛΗΝ ΤΩΝ ΔΗΜΩΝ ΙΣΤΙΑΙΑΣ – ΑΙΔΗΨΟΥ ΚΑΙ ΜΑΝΤΟΥΔΙΟΥ – ΛΙΜΝΗΣ – ΑΓ. ΑΝΝΑΣ ΤΗΣ ΕΥΒΟΙΑΣ,  ΤΩΝ ΠΕΡΙΦΕΡΕΙΑΚΩΝ ΕΝΟΤΗΤΩΝ ΜΑΓΝΗΣΙΑΣ, ΚΑΡΔΙΤΣΑΣ, ΛΑΡΙΣΑΣ, ΤΡΙΚΑΛΩΝ ΚΑΙ ΕΒΡΟΥ ΚΑΙ ΝΗΣΩΝ ΛΕΡΟΥ, ΛΕΣΒΟΥ, ΧΙΟΥ, ΚΩ ΚΑΙ ΣΑΜΟΥ</w:t>
      </w: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7F6DC4">
      <w:pPr>
        <w:jc w:val="center"/>
        <w:rPr>
          <w:rFonts w:cstheme="minorHAnsi"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(ΑΝΑ ΔΙΚΑΙΟΥΧΟ/ΩΦΕΛΟΥΜΕΝΟ – ΑΝΑ ΔΙΑΝΥΚΤΕΡΕΥΣΗ)</w:t>
      </w:r>
    </w:p>
    <w:p w:rsidR="007F6DC4" w:rsidRPr="007F6DC4" w:rsidRDefault="007F6DC4" w:rsidP="007F6DC4">
      <w:pPr>
        <w:rPr>
          <w:rFonts w:cstheme="minorHAnsi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9"/>
        <w:gridCol w:w="2037"/>
        <w:gridCol w:w="1458"/>
        <w:gridCol w:w="1828"/>
      </w:tblGrid>
      <w:tr w:rsidR="007F6DC4" w:rsidRPr="007F6DC4" w:rsidTr="00C51A6B">
        <w:trPr>
          <w:trHeight w:val="25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ΤΥΠΟΣ ΚΑΤΑΛΥΜΑΤΟΣ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ΚΑΤΗΓΟΡΙΑ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ΜΕ ΠΡΩΙΝΟ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166"/>
              </w:tabs>
              <w:ind w:right="111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ΧΩΡΙΣ ΠΡΩΙΝΟ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F6DC4">
              <w:rPr>
                <w:rFonts w:cstheme="minorHAnsi"/>
                <w:bCs/>
                <w:sz w:val="24"/>
                <w:szCs w:val="24"/>
              </w:rPr>
              <w:t>ΞΕΝΟΔΟΧΕΙΑ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7€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9€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6€</w:t>
            </w:r>
          </w:p>
        </w:tc>
      </w:tr>
      <w:tr w:rsidR="007F6DC4" w:rsidRPr="007F6DC4" w:rsidTr="00C51A6B">
        <w:trPr>
          <w:trHeight w:val="19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6€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ΑΣΤΕΡΩΝ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6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 ΑΣΤΕΡΟΣ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285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ΕΝΟΙΚΙΑΖΟΜΕΝΑ ΕΠΙΠΛΩΜΕΝΑ ΔΙΑΜΕΡΙΣΜΑΤΑ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Pr="007F6DC4">
              <w:rPr>
                <w:rFonts w:cstheme="minorHAnsi"/>
                <w:sz w:val="24"/>
                <w:szCs w:val="24"/>
              </w:rPr>
              <w:t>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6€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4€</w:t>
            </w:r>
          </w:p>
        </w:tc>
      </w:tr>
      <w:tr w:rsidR="007F6DC4" w:rsidRPr="007F6DC4" w:rsidTr="00C51A6B">
        <w:trPr>
          <w:trHeight w:val="27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</w:tr>
      <w:tr w:rsidR="007F6DC4" w:rsidRPr="007F6DC4" w:rsidTr="00C51A6B">
        <w:trPr>
          <w:trHeight w:val="279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</w:tr>
      <w:tr w:rsidR="007F6DC4" w:rsidRPr="007F6DC4" w:rsidTr="00C51A6B">
        <w:trPr>
          <w:trHeight w:val="282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ΚΛΕΙΔΙΩΝ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8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DC4">
              <w:rPr>
                <w:rFonts w:cstheme="minorHAnsi"/>
                <w:color w:val="000000"/>
                <w:sz w:val="24"/>
                <w:szCs w:val="24"/>
              </w:rPr>
              <w:t>1 ΚΛΕΙΔΙ &amp;</w:t>
            </w:r>
          </w:p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ΧΩΡΙΣ ΚΑΤΑΤΑΞΗ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1€</w:t>
            </w:r>
          </w:p>
        </w:tc>
      </w:tr>
      <w:tr w:rsidR="007F6DC4" w:rsidRPr="007F6DC4" w:rsidTr="00C51A6B">
        <w:trPr>
          <w:trHeight w:val="55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ΤΟΥΡΙΣΤΙΚΕΣ ΕΠΙΠΛΩΜΕΝΕΣ ΚΑΤΟΙΚΙΕΣ – ΕΠΑΥΛΕΙΣ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5€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3€</w:t>
            </w:r>
          </w:p>
        </w:tc>
      </w:tr>
      <w:tr w:rsidR="007F6DC4" w:rsidRPr="007F6DC4" w:rsidTr="00C51A6B">
        <w:trPr>
          <w:trHeight w:val="55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ΟΡΓΑΝΩΜΕΝΕΣ ΚΑΤΑΣΚΗΝΩΣΕΙΣ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</w:tr>
    </w:tbl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F6DC4">
        <w:rPr>
          <w:rFonts w:cstheme="minorHAnsi"/>
          <w:b/>
          <w:bCs/>
          <w:sz w:val="24"/>
          <w:szCs w:val="24"/>
          <w:u w:val="single"/>
        </w:rPr>
        <w:lastRenderedPageBreak/>
        <w:t>ΠΙΝΑΚΑΣ 3</w:t>
      </w:r>
    </w:p>
    <w:p w:rsidR="007F6DC4" w:rsidRPr="007F6DC4" w:rsidRDefault="007F6DC4" w:rsidP="007F6DC4">
      <w:pPr>
        <w:ind w:right="626"/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ind w:right="84"/>
        <w:jc w:val="center"/>
        <w:rPr>
          <w:rFonts w:cstheme="minorHAnsi"/>
          <w:b/>
          <w:bCs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ΤΙΜΕΣ ΕΠΙΔΟΤΗΣΗΣ ΓΙΑ ΚΑΤΑΛΥΜΑΤΑ ΤΩΝ ΔΗΜΩΝ ΙΣΤΙΑΙΑΣ – ΑΙΔΗΨΟΥ ΚΑΙ ΜΑΝΤΟΥΔΙΟΥ – ΛΙΜΝΗΣ – ΑΓ. ΑΝΝΑΣ ΤΗΣ ΕΥΒΟΙΑΣ ΚΑΙ  ΤΩΝ ΠΕΡΙΦΕΡΕΙΑΚΩΝ ΕΝΟΤΗΤΩΝ ΜΑΓΝΗΣΙΑΣ, ΚΑΡΔΙΤΣΑΣ, ΛΑΡΙΣΑΣ, ΤΡΙΚΑΛΩΝ ΚΑΙ ΕΒΡΟΥ</w:t>
      </w:r>
    </w:p>
    <w:p w:rsidR="007F6DC4" w:rsidRPr="007F6DC4" w:rsidRDefault="007F6DC4" w:rsidP="007F6DC4">
      <w:pPr>
        <w:jc w:val="center"/>
        <w:rPr>
          <w:rFonts w:cstheme="minorHAnsi"/>
          <w:b/>
          <w:bCs/>
          <w:sz w:val="24"/>
          <w:szCs w:val="24"/>
        </w:rPr>
      </w:pPr>
    </w:p>
    <w:p w:rsidR="007F6DC4" w:rsidRPr="007F6DC4" w:rsidRDefault="007F6DC4" w:rsidP="007F6DC4">
      <w:pPr>
        <w:jc w:val="center"/>
        <w:rPr>
          <w:rFonts w:cstheme="minorHAnsi"/>
          <w:sz w:val="24"/>
          <w:szCs w:val="24"/>
        </w:rPr>
      </w:pPr>
      <w:r w:rsidRPr="007F6DC4">
        <w:rPr>
          <w:rFonts w:cstheme="minorHAnsi"/>
          <w:b/>
          <w:bCs/>
          <w:sz w:val="24"/>
          <w:szCs w:val="24"/>
        </w:rPr>
        <w:t>(ΑΝΑ ΔΙΚΑΙΟΥΧΟ/ΩΦΕΛΟΥΜΕΝΟ – ΑΝΑ ΔΙΑΝΥΚΤΕΡΕΥΣΗ)</w:t>
      </w:r>
    </w:p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tbl>
      <w:tblPr>
        <w:tblW w:w="495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2"/>
        <w:gridCol w:w="2037"/>
        <w:gridCol w:w="2031"/>
      </w:tblGrid>
      <w:tr w:rsidR="007F6DC4" w:rsidRPr="007F6DC4" w:rsidTr="00C51A6B">
        <w:trPr>
          <w:trHeight w:val="258"/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4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ΤΥΠΟΣ ΚΑΤΑΛΥΜΑΤΟΣ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ΚΑΤΗΓΟΡΙΑ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6DC4">
              <w:rPr>
                <w:rFonts w:cstheme="minorHAnsi"/>
                <w:b/>
                <w:bCs/>
                <w:sz w:val="24"/>
                <w:szCs w:val="24"/>
              </w:rPr>
              <w:t>ΜΕ ΠΡΩΙΝΟ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F6DC4">
              <w:rPr>
                <w:rFonts w:cstheme="minorHAnsi"/>
                <w:bCs/>
                <w:sz w:val="24"/>
                <w:szCs w:val="24"/>
              </w:rPr>
              <w:t>ΞΕΝΟΔΟΧΕΙΑ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56€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49€</w:t>
            </w:r>
          </w:p>
        </w:tc>
      </w:tr>
      <w:tr w:rsidR="007F6DC4" w:rsidRPr="007F6DC4" w:rsidTr="00C51A6B">
        <w:trPr>
          <w:trHeight w:val="192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43€</w:t>
            </w:r>
          </w:p>
        </w:tc>
      </w:tr>
      <w:tr w:rsidR="007F6DC4" w:rsidRPr="007F6DC4" w:rsidTr="00C51A6B">
        <w:trPr>
          <w:trHeight w:val="258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ΑΣΤΕΡΩΝ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34€</w:t>
            </w:r>
          </w:p>
        </w:tc>
      </w:tr>
      <w:tr w:rsidR="007F6DC4" w:rsidRPr="007F6DC4" w:rsidTr="00C51A6B">
        <w:trPr>
          <w:trHeight w:val="61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 ΑΣΤΕΡΟΣ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29€</w:t>
            </w:r>
          </w:p>
        </w:tc>
      </w:tr>
      <w:tr w:rsidR="007F6DC4" w:rsidRPr="007F6DC4" w:rsidTr="00C51A6B">
        <w:trPr>
          <w:trHeight w:val="285"/>
          <w:jc w:val="center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ΕΝΟΙΚΙΑΖΟΜΕΝΑ ΕΠΙΠΛΩΜΕΝΑ ΔΙΑΜΕΡΙΣΜΑΤΑ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Pr="007F6DC4">
              <w:rPr>
                <w:rFonts w:cstheme="minorHAnsi"/>
                <w:sz w:val="24"/>
                <w:szCs w:val="24"/>
              </w:rPr>
              <w:t>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40€</w:t>
            </w:r>
          </w:p>
        </w:tc>
      </w:tr>
      <w:tr w:rsidR="007F6DC4" w:rsidRPr="007F6DC4" w:rsidTr="00C51A6B">
        <w:trPr>
          <w:trHeight w:val="275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4 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35€</w:t>
            </w:r>
          </w:p>
        </w:tc>
      </w:tr>
      <w:tr w:rsidR="007F6DC4" w:rsidRPr="007F6DC4" w:rsidTr="00C51A6B">
        <w:trPr>
          <w:trHeight w:val="279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 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31€</w:t>
            </w:r>
          </w:p>
        </w:tc>
      </w:tr>
      <w:tr w:rsidR="007F6DC4" w:rsidRPr="007F6DC4" w:rsidTr="00C51A6B">
        <w:trPr>
          <w:trHeight w:val="282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 ΚΛΕΙΔΙΩΝ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25€</w:t>
            </w:r>
          </w:p>
        </w:tc>
      </w:tr>
      <w:tr w:rsidR="007F6DC4" w:rsidRPr="007F6DC4" w:rsidTr="00C51A6B">
        <w:trPr>
          <w:trHeight w:val="81"/>
          <w:jc w:val="center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snapToGrid w:val="0"/>
              <w:ind w:right="31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F6DC4">
              <w:rPr>
                <w:rFonts w:cstheme="minorHAnsi"/>
                <w:color w:val="000000"/>
                <w:sz w:val="24"/>
                <w:szCs w:val="24"/>
              </w:rPr>
              <w:t>1 ΚΛΕΙΔΙ &amp;</w:t>
            </w:r>
          </w:p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ΧΩΡΙΣ ΚΑΤΑΤΑΞΗ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22€</w:t>
            </w:r>
          </w:p>
        </w:tc>
      </w:tr>
      <w:tr w:rsidR="007F6DC4" w:rsidRPr="007F6DC4" w:rsidTr="00C51A6B">
        <w:trPr>
          <w:trHeight w:val="557"/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ΤΟΥΡΙΣΤΙΚΕΣ ΕΠΙΠΛΩΜΕΝΕΣ ΚΑΤΟΙΚΙΕΣ – ΕΠΑΥΛΕΙΣ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36€</w:t>
            </w:r>
          </w:p>
        </w:tc>
      </w:tr>
      <w:tr w:rsidR="007F6DC4" w:rsidRPr="007F6DC4" w:rsidTr="00C51A6B">
        <w:trPr>
          <w:trHeight w:val="552"/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ΟΡΓΑΝΩΜΕΝΕΣ ΚΑΤΑΣΚΗΝΩΣΕΙΣ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tabs>
                <w:tab w:val="left" w:pos="158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DC4" w:rsidRPr="007F6DC4" w:rsidRDefault="007F6DC4" w:rsidP="00C51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6DC4">
              <w:rPr>
                <w:rFonts w:cstheme="minorHAnsi"/>
                <w:sz w:val="24"/>
                <w:szCs w:val="24"/>
              </w:rPr>
              <w:t>13€</w:t>
            </w:r>
          </w:p>
        </w:tc>
      </w:tr>
    </w:tbl>
    <w:p w:rsidR="007F6DC4" w:rsidRPr="007F6DC4" w:rsidRDefault="007F6DC4" w:rsidP="007F6DC4">
      <w:pPr>
        <w:jc w:val="center"/>
        <w:rPr>
          <w:rFonts w:cstheme="minorHAnsi"/>
          <w:b/>
          <w:sz w:val="24"/>
          <w:szCs w:val="24"/>
        </w:rPr>
      </w:pPr>
    </w:p>
    <w:p w:rsidR="007F6DC4" w:rsidRPr="007F6DC4" w:rsidRDefault="007F6DC4" w:rsidP="00EF5E43">
      <w:pPr>
        <w:shd w:val="clear" w:color="auto" w:fill="FDFDFC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sectPr w:rsidR="007F6DC4" w:rsidRPr="007F6DC4" w:rsidSect="00613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784F"/>
    <w:multiLevelType w:val="hybridMultilevel"/>
    <w:tmpl w:val="9FBEC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62D8"/>
    <w:multiLevelType w:val="hybridMultilevel"/>
    <w:tmpl w:val="834C7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D1D"/>
    <w:multiLevelType w:val="multilevel"/>
    <w:tmpl w:val="BBE4C4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668D8"/>
    <w:multiLevelType w:val="hybridMultilevel"/>
    <w:tmpl w:val="628CF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F7837"/>
    <w:multiLevelType w:val="hybridMultilevel"/>
    <w:tmpl w:val="5B3EE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957D2"/>
    <w:multiLevelType w:val="hybridMultilevel"/>
    <w:tmpl w:val="2C9A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261"/>
    <w:rsid w:val="00017EC7"/>
    <w:rsid w:val="0003690C"/>
    <w:rsid w:val="000C0261"/>
    <w:rsid w:val="000C6DB2"/>
    <w:rsid w:val="00170224"/>
    <w:rsid w:val="001B1A0D"/>
    <w:rsid w:val="001E38C3"/>
    <w:rsid w:val="001E6007"/>
    <w:rsid w:val="002039E4"/>
    <w:rsid w:val="00216051"/>
    <w:rsid w:val="00235565"/>
    <w:rsid w:val="002532D7"/>
    <w:rsid w:val="002554CF"/>
    <w:rsid w:val="002A0C1E"/>
    <w:rsid w:val="002D160F"/>
    <w:rsid w:val="00305EC3"/>
    <w:rsid w:val="00330658"/>
    <w:rsid w:val="0033076F"/>
    <w:rsid w:val="003410D8"/>
    <w:rsid w:val="00392FBB"/>
    <w:rsid w:val="003C1578"/>
    <w:rsid w:val="003D5BAA"/>
    <w:rsid w:val="003F6220"/>
    <w:rsid w:val="004B2809"/>
    <w:rsid w:val="004F2D9E"/>
    <w:rsid w:val="005E5E46"/>
    <w:rsid w:val="00613C3C"/>
    <w:rsid w:val="006143BE"/>
    <w:rsid w:val="00677DE0"/>
    <w:rsid w:val="0069245D"/>
    <w:rsid w:val="00732B57"/>
    <w:rsid w:val="0075072B"/>
    <w:rsid w:val="007E296F"/>
    <w:rsid w:val="007F6DC4"/>
    <w:rsid w:val="008026B8"/>
    <w:rsid w:val="008B6245"/>
    <w:rsid w:val="008D4E00"/>
    <w:rsid w:val="008F0FF0"/>
    <w:rsid w:val="0092651D"/>
    <w:rsid w:val="009765E2"/>
    <w:rsid w:val="009D2F2E"/>
    <w:rsid w:val="00A0196E"/>
    <w:rsid w:val="00A427E1"/>
    <w:rsid w:val="00A911E1"/>
    <w:rsid w:val="00AE1E62"/>
    <w:rsid w:val="00B14001"/>
    <w:rsid w:val="00B844B2"/>
    <w:rsid w:val="00B97467"/>
    <w:rsid w:val="00BD7D5D"/>
    <w:rsid w:val="00C30F26"/>
    <w:rsid w:val="00C94192"/>
    <w:rsid w:val="00CB4E43"/>
    <w:rsid w:val="00CE7D50"/>
    <w:rsid w:val="00D262C4"/>
    <w:rsid w:val="00D50DAB"/>
    <w:rsid w:val="00D669CA"/>
    <w:rsid w:val="00E06347"/>
    <w:rsid w:val="00E1355E"/>
    <w:rsid w:val="00E333B2"/>
    <w:rsid w:val="00E514ED"/>
    <w:rsid w:val="00EC67CD"/>
    <w:rsid w:val="00EF5E43"/>
    <w:rsid w:val="00F11EE1"/>
    <w:rsid w:val="00F53D7E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61604-5325-4AD1-A2FE-6EF31F6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C3C"/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67C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6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14001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1400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1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annotation reference"/>
    <w:basedOn w:val="a0"/>
    <w:uiPriority w:val="99"/>
    <w:semiHidden/>
    <w:unhideWhenUsed/>
    <w:rsid w:val="00EC67C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C67C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C67C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C67C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C67C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C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67CD"/>
    <w:rPr>
      <w:rFonts w:ascii="Segoe UI" w:hAnsi="Segoe UI" w:cs="Segoe UI"/>
      <w:sz w:val="18"/>
      <w:szCs w:val="18"/>
    </w:rPr>
  </w:style>
  <w:style w:type="character" w:customStyle="1" w:styleId="6Char">
    <w:name w:val="Επικεφαλίδα 6 Char"/>
    <w:basedOn w:val="a0"/>
    <w:link w:val="6"/>
    <w:uiPriority w:val="9"/>
    <w:semiHidden/>
    <w:rsid w:val="00EC67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330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gr/ipiresies/ergasia-kai-asphalise/apozemioseis-kai-parokhes/koinonikos-touris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1497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ΔΥΠΑ</dc:creator>
  <cp:keywords/>
  <dc:description/>
  <cp:lastModifiedBy>ΦΩΤΕΙΝΗ</cp:lastModifiedBy>
  <cp:revision>5</cp:revision>
  <dcterms:created xsi:type="dcterms:W3CDTF">2024-05-30T19:22:00Z</dcterms:created>
  <dcterms:modified xsi:type="dcterms:W3CDTF">2024-05-31T09:48:00Z</dcterms:modified>
</cp:coreProperties>
</file>